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63387622" w:rsidR="00177AAD" w:rsidRDefault="00FF52B3" w:rsidP="00255189">
      <w:pPr>
        <w:pStyle w:val="BodyText"/>
        <w:tabs>
          <w:tab w:val="left" w:pos="270"/>
        </w:tabs>
        <w:jc w:val="center"/>
        <w:rPr>
          <w:rFonts w:ascii="Arial" w:hAnsi="Arial" w:cs="Arial"/>
          <w:b/>
        </w:rPr>
      </w:pPr>
      <w:bookmarkStart w:id="5" w:name="_Hlk165496007"/>
      <w:bookmarkStart w:id="6" w:name="_Hlk148021239"/>
      <w:bookmarkStart w:id="7" w:name="_Hlk167279365"/>
      <w:bookmarkStart w:id="8" w:name="_Hlk161234962"/>
      <w:r>
        <w:rPr>
          <w:rFonts w:ascii="Arial" w:hAnsi="Arial" w:cs="Arial"/>
          <w:b/>
        </w:rPr>
        <w:t>Preventive Maintenance/</w:t>
      </w:r>
      <w:proofErr w:type="spellStart"/>
      <w:r>
        <w:rPr>
          <w:rFonts w:ascii="Arial" w:hAnsi="Arial" w:cs="Arial"/>
          <w:b/>
        </w:rPr>
        <w:t>Pallative</w:t>
      </w:r>
      <w:proofErr w:type="spellEnd"/>
      <w:r>
        <w:rPr>
          <w:rFonts w:ascii="Arial" w:hAnsi="Arial" w:cs="Arial"/>
          <w:b/>
        </w:rPr>
        <w:t xml:space="preserve"> Repair of Various Areas at Pangasinan Provincial Hospital, San Carlos City</w:t>
      </w:r>
      <w:r w:rsidR="00834D9E">
        <w:rPr>
          <w:rFonts w:ascii="Arial" w:hAnsi="Arial" w:cs="Arial"/>
          <w:b/>
        </w:rPr>
        <w:t>, Pangasinan</w:t>
      </w:r>
      <w:r w:rsidR="00A00718">
        <w:rPr>
          <w:rFonts w:ascii="Arial" w:hAnsi="Arial" w:cs="Arial"/>
          <w:b/>
        </w:rPr>
        <w:t xml:space="preserve"> </w:t>
      </w:r>
      <w:bookmarkEnd w:id="5"/>
    </w:p>
    <w:bookmarkEnd w:id="6"/>
    <w:p w14:paraId="1F60F09B" w14:textId="77777777" w:rsidR="00177AAD" w:rsidRDefault="00177AAD">
      <w:pPr>
        <w:pStyle w:val="BodyText"/>
        <w:jc w:val="center"/>
        <w:rPr>
          <w:rFonts w:ascii="Arial" w:hAnsi="Arial" w:cs="Arial"/>
          <w:b/>
        </w:rPr>
      </w:pPr>
    </w:p>
    <w:p w14:paraId="64FB20EE" w14:textId="3C8A275E"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834D9E">
        <w:rPr>
          <w:rFonts w:ascii="Arial" w:hAnsi="Arial" w:cs="Arial"/>
          <w:sz w:val="22"/>
          <w:szCs w:val="22"/>
        </w:rPr>
        <w:t>5</w:t>
      </w:r>
      <w:r w:rsidR="00FF52B3">
        <w:rPr>
          <w:rFonts w:ascii="Arial" w:hAnsi="Arial" w:cs="Arial"/>
          <w:sz w:val="22"/>
          <w:szCs w:val="22"/>
        </w:rPr>
        <w:t>7</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1F41F14F"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FF52B3" w:rsidRPr="00FF52B3">
        <w:rPr>
          <w:rFonts w:ascii="Arial" w:hAnsi="Arial"/>
          <w:b/>
          <w:sz w:val="21"/>
          <w:szCs w:val="21"/>
        </w:rPr>
        <w:t>Construction/Repair/Maintenance/Rehabilitation of Hospitals</w:t>
      </w:r>
      <w:r w:rsidR="00FF2401">
        <w:rPr>
          <w:rFonts w:ascii="Arial" w:hAnsi="Arial"/>
          <w:b/>
          <w:sz w:val="21"/>
          <w:szCs w:val="21"/>
        </w:rPr>
        <w:t xml:space="preserve"> </w:t>
      </w:r>
      <w:r>
        <w:rPr>
          <w:rFonts w:ascii="Arial" w:hAnsi="Arial" w:cs="Arial"/>
          <w:b/>
          <w:sz w:val="21"/>
          <w:szCs w:val="21"/>
        </w:rPr>
        <w:t>(PR#2024-0</w:t>
      </w:r>
      <w:r w:rsidR="006D30A5">
        <w:rPr>
          <w:rFonts w:ascii="Arial" w:hAnsi="Arial" w:cs="Arial"/>
          <w:b/>
          <w:sz w:val="21"/>
          <w:szCs w:val="21"/>
        </w:rPr>
        <w:t>8</w:t>
      </w:r>
      <w:r>
        <w:rPr>
          <w:rFonts w:ascii="Arial" w:hAnsi="Arial" w:cs="Arial"/>
          <w:b/>
          <w:sz w:val="21"/>
          <w:szCs w:val="21"/>
        </w:rPr>
        <w:t>-</w:t>
      </w:r>
      <w:r w:rsidR="006D30A5">
        <w:rPr>
          <w:rFonts w:ascii="Arial" w:hAnsi="Arial" w:cs="Arial"/>
          <w:b/>
          <w:sz w:val="21"/>
          <w:szCs w:val="21"/>
        </w:rPr>
        <w:t>5</w:t>
      </w:r>
      <w:r w:rsidR="00834D9E">
        <w:rPr>
          <w:rFonts w:ascii="Arial" w:hAnsi="Arial" w:cs="Arial"/>
          <w:b/>
          <w:sz w:val="21"/>
          <w:szCs w:val="21"/>
        </w:rPr>
        <w:t>74</w:t>
      </w:r>
      <w:r w:rsidR="00FF52B3">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6D4541">
        <w:rPr>
          <w:rFonts w:ascii="Arial" w:hAnsi="Arial" w:cs="Arial"/>
          <w:b/>
          <w:bCs/>
          <w:sz w:val="21"/>
          <w:szCs w:val="21"/>
        </w:rPr>
        <w:t>Two</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sidR="006D4541">
        <w:rPr>
          <w:rFonts w:ascii="Arial" w:hAnsi="Arial" w:cs="Arial"/>
          <w:b/>
          <w:bCs/>
          <w:sz w:val="21"/>
          <w:szCs w:val="21"/>
        </w:rPr>
        <w:t>Eight</w:t>
      </w:r>
      <w:r w:rsidR="00A00718">
        <w:rPr>
          <w:rFonts w:ascii="Arial" w:hAnsi="Arial" w:cs="Arial"/>
          <w:b/>
          <w:bCs/>
          <w:sz w:val="21"/>
          <w:szCs w:val="21"/>
        </w:rPr>
        <w:t xml:space="preserve"> Hundred </w:t>
      </w:r>
      <w:r w:rsidR="006D4541">
        <w:rPr>
          <w:rFonts w:ascii="Arial" w:hAnsi="Arial" w:cs="Arial"/>
          <w:b/>
          <w:bCs/>
          <w:sz w:val="21"/>
          <w:szCs w:val="21"/>
        </w:rPr>
        <w:t>Fifty-Four</w:t>
      </w:r>
      <w:r w:rsidR="00A00718">
        <w:rPr>
          <w:rFonts w:ascii="Arial" w:hAnsi="Arial" w:cs="Arial"/>
          <w:b/>
          <w:bCs/>
          <w:sz w:val="21"/>
          <w:szCs w:val="21"/>
        </w:rPr>
        <w:t xml:space="preserve"> Thousand </w:t>
      </w:r>
      <w:r>
        <w:rPr>
          <w:rFonts w:ascii="Arial" w:hAnsi="Arial" w:cs="Arial"/>
          <w:b/>
          <w:bCs/>
          <w:sz w:val="21"/>
          <w:szCs w:val="21"/>
        </w:rPr>
        <w:t xml:space="preserve">Pesos </w:t>
      </w:r>
      <w:r>
        <w:rPr>
          <w:rFonts w:ascii="Arial" w:hAnsi="Arial" w:cs="Arial"/>
          <w:b/>
          <w:sz w:val="21"/>
          <w:szCs w:val="21"/>
        </w:rPr>
        <w:t>(</w:t>
      </w:r>
      <w:bookmarkStart w:id="14" w:name="_Hlk153889062"/>
      <w:r>
        <w:rPr>
          <w:rFonts w:ascii="Arial" w:hAnsi="Arial" w:cs="Arial"/>
          <w:b/>
          <w:sz w:val="21"/>
          <w:szCs w:val="21"/>
        </w:rPr>
        <w:t>P</w:t>
      </w:r>
      <w:bookmarkStart w:id="15" w:name="_Hlk161234934"/>
      <w:bookmarkEnd w:id="14"/>
      <w:r w:rsidR="006D4541">
        <w:rPr>
          <w:rFonts w:ascii="Arial" w:hAnsi="Arial" w:cs="Arial"/>
          <w:b/>
          <w:sz w:val="21"/>
          <w:szCs w:val="21"/>
        </w:rPr>
        <w:t>2,854,000</w:t>
      </w:r>
      <w:r w:rsidR="00313F6A">
        <w:rPr>
          <w:rFonts w:ascii="Arial" w:hAnsi="Arial" w:cs="Arial"/>
          <w:b/>
          <w:sz w:val="21"/>
          <w:szCs w:val="21"/>
        </w:rPr>
        <w:t>.00</w:t>
      </w:r>
      <w:bookmarkEnd w:id="15"/>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FF52B3" w:rsidRPr="00FF52B3">
        <w:rPr>
          <w:rFonts w:ascii="Arial" w:hAnsi="Arial" w:cs="Arial"/>
          <w:b/>
          <w:bCs/>
          <w:sz w:val="21"/>
          <w:szCs w:val="21"/>
        </w:rPr>
        <w:t>Preventive Maintenance/</w:t>
      </w:r>
      <w:proofErr w:type="spellStart"/>
      <w:r w:rsidR="00FF52B3" w:rsidRPr="00FF52B3">
        <w:rPr>
          <w:rFonts w:ascii="Arial" w:hAnsi="Arial" w:cs="Arial"/>
          <w:b/>
          <w:bCs/>
          <w:sz w:val="21"/>
          <w:szCs w:val="21"/>
        </w:rPr>
        <w:t>Pallative</w:t>
      </w:r>
      <w:proofErr w:type="spellEnd"/>
      <w:r w:rsidR="00FF52B3" w:rsidRPr="00FF52B3">
        <w:rPr>
          <w:rFonts w:ascii="Arial" w:hAnsi="Arial" w:cs="Arial"/>
          <w:b/>
          <w:bCs/>
          <w:sz w:val="21"/>
          <w:szCs w:val="21"/>
        </w:rPr>
        <w:t xml:space="preserve"> Repair of Various Areas at Pangasinan Provincial Hospital, San Carlos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7DBD6A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F52B3" w:rsidRPr="00FF52B3">
        <w:rPr>
          <w:rFonts w:ascii="Arial" w:hAnsi="Arial" w:cs="Arial"/>
          <w:b/>
          <w:bCs/>
          <w:sz w:val="21"/>
          <w:szCs w:val="21"/>
        </w:rPr>
        <w:t>Preventive Maintenance/</w:t>
      </w:r>
      <w:proofErr w:type="spellStart"/>
      <w:r w:rsidR="00FF52B3" w:rsidRPr="00FF52B3">
        <w:rPr>
          <w:rFonts w:ascii="Arial" w:hAnsi="Arial" w:cs="Arial"/>
          <w:b/>
          <w:bCs/>
          <w:sz w:val="21"/>
          <w:szCs w:val="21"/>
        </w:rPr>
        <w:t>Pallative</w:t>
      </w:r>
      <w:proofErr w:type="spellEnd"/>
      <w:r w:rsidR="00FF52B3" w:rsidRPr="00FF52B3">
        <w:rPr>
          <w:rFonts w:ascii="Arial" w:hAnsi="Arial" w:cs="Arial"/>
          <w:b/>
          <w:bCs/>
          <w:sz w:val="21"/>
          <w:szCs w:val="21"/>
        </w:rPr>
        <w:t xml:space="preserve"> Repair</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6" w:name="_Hlk176168012"/>
      <w:r w:rsidR="00B34528">
        <w:rPr>
          <w:rFonts w:ascii="Arial" w:hAnsi="Arial" w:cs="Arial"/>
          <w:b/>
          <w:bCs/>
          <w:sz w:val="21"/>
          <w:szCs w:val="21"/>
        </w:rPr>
        <w:t>Two</w:t>
      </w:r>
      <w:r w:rsidR="00834D9E" w:rsidRPr="00B34528">
        <w:rPr>
          <w:rFonts w:ascii="Arial" w:hAnsi="Arial" w:cs="Arial"/>
          <w:b/>
          <w:bCs/>
          <w:sz w:val="21"/>
          <w:szCs w:val="21"/>
        </w:rPr>
        <w:t xml:space="preserve"> Hundred </w:t>
      </w:r>
      <w:r w:rsidR="00B34528">
        <w:rPr>
          <w:rFonts w:ascii="Arial" w:hAnsi="Arial" w:cs="Arial"/>
          <w:b/>
          <w:bCs/>
          <w:sz w:val="21"/>
          <w:szCs w:val="21"/>
        </w:rPr>
        <w:t>Forty-One</w:t>
      </w:r>
      <w:r w:rsidR="00894EDA" w:rsidRPr="00B34528">
        <w:rPr>
          <w:rFonts w:ascii="Arial" w:hAnsi="Arial" w:cs="Arial"/>
          <w:b/>
          <w:bCs/>
          <w:sz w:val="21"/>
          <w:szCs w:val="21"/>
        </w:rPr>
        <w:t xml:space="preserve"> </w:t>
      </w:r>
      <w:r w:rsidRPr="00B34528">
        <w:rPr>
          <w:rFonts w:ascii="Arial" w:hAnsi="Arial" w:cs="Arial"/>
          <w:b/>
          <w:bCs/>
          <w:sz w:val="21"/>
          <w:szCs w:val="21"/>
        </w:rPr>
        <w:t>(</w:t>
      </w:r>
      <w:r w:rsidR="00B34528">
        <w:rPr>
          <w:rFonts w:ascii="Arial" w:hAnsi="Arial" w:cs="Arial"/>
          <w:b/>
          <w:bCs/>
          <w:sz w:val="21"/>
          <w:szCs w:val="21"/>
        </w:rPr>
        <w:t>241</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6"/>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FD41B5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834D9E">
        <w:rPr>
          <w:rFonts w:ascii="Arial" w:hAnsi="Arial" w:cs="Arial"/>
          <w:b/>
          <w:sz w:val="21"/>
          <w:szCs w:val="21"/>
        </w:rPr>
        <w:t>September 4</w:t>
      </w:r>
      <w:r w:rsidR="006D30A5" w:rsidRPr="00563730">
        <w:rPr>
          <w:rFonts w:ascii="Arial" w:hAnsi="Arial" w:cs="Arial"/>
          <w:b/>
          <w:sz w:val="21"/>
          <w:szCs w:val="21"/>
        </w:rPr>
        <w:t xml:space="preserve">, 2024 – </w:t>
      </w:r>
      <w:r w:rsidR="006D30A5">
        <w:rPr>
          <w:rFonts w:ascii="Arial" w:hAnsi="Arial" w:cs="Arial"/>
          <w:b/>
          <w:sz w:val="21"/>
          <w:szCs w:val="21"/>
        </w:rPr>
        <w:t xml:space="preserve">September </w:t>
      </w:r>
      <w:r w:rsidR="00F3678F">
        <w:rPr>
          <w:rFonts w:ascii="Arial" w:hAnsi="Arial" w:cs="Arial"/>
          <w:b/>
          <w:sz w:val="21"/>
          <w:szCs w:val="21"/>
        </w:rPr>
        <w:t>24</w:t>
      </w:r>
      <w:r w:rsidR="006D30A5" w:rsidRPr="00563730">
        <w:rPr>
          <w:rFonts w:ascii="Arial" w:hAnsi="Arial" w:cs="Arial"/>
          <w:b/>
          <w:sz w:val="21"/>
          <w:szCs w:val="21"/>
        </w:rPr>
        <w:t xml:space="preserve">, 2024; 8:00 am to 5:00pm and </w:t>
      </w:r>
      <w:r w:rsidR="006D30A5">
        <w:rPr>
          <w:rFonts w:ascii="Arial" w:hAnsi="Arial" w:cs="Arial"/>
          <w:b/>
          <w:sz w:val="21"/>
          <w:szCs w:val="21"/>
        </w:rPr>
        <w:t xml:space="preserve">September </w:t>
      </w:r>
      <w:r w:rsidR="00F3678F">
        <w:rPr>
          <w:rFonts w:ascii="Arial" w:hAnsi="Arial" w:cs="Arial"/>
          <w:b/>
          <w:sz w:val="21"/>
          <w:szCs w:val="21"/>
        </w:rPr>
        <w:t>25</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5A85539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3678F">
        <w:rPr>
          <w:rFonts w:ascii="Arial" w:hAnsi="Arial" w:cs="Arial"/>
          <w:b/>
          <w:sz w:val="21"/>
          <w:szCs w:val="21"/>
        </w:rPr>
        <w:t>September 4</w:t>
      </w:r>
      <w:r w:rsidR="00F3678F" w:rsidRPr="00563730">
        <w:rPr>
          <w:rFonts w:ascii="Arial" w:hAnsi="Arial" w:cs="Arial"/>
          <w:b/>
          <w:sz w:val="21"/>
          <w:szCs w:val="21"/>
        </w:rPr>
        <w:t xml:space="preserve">, 2024 – </w:t>
      </w:r>
      <w:r w:rsidR="00F3678F">
        <w:rPr>
          <w:rFonts w:ascii="Arial" w:hAnsi="Arial" w:cs="Arial"/>
          <w:b/>
          <w:sz w:val="21"/>
          <w:szCs w:val="21"/>
        </w:rPr>
        <w:t>September 24</w:t>
      </w:r>
      <w:r w:rsidR="00F3678F" w:rsidRPr="00563730">
        <w:rPr>
          <w:rFonts w:ascii="Arial" w:hAnsi="Arial" w:cs="Arial"/>
          <w:b/>
          <w:sz w:val="21"/>
          <w:szCs w:val="21"/>
        </w:rPr>
        <w:t xml:space="preserve">, 2024; 8:00 am to 5:00pm and </w:t>
      </w:r>
      <w:r w:rsidR="00F3678F">
        <w:rPr>
          <w:rFonts w:ascii="Arial" w:hAnsi="Arial" w:cs="Arial"/>
          <w:b/>
          <w:sz w:val="21"/>
          <w:szCs w:val="21"/>
        </w:rPr>
        <w:t>September 25</w:t>
      </w:r>
      <w:r w:rsidR="00F3678F"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A00718">
        <w:rPr>
          <w:rFonts w:ascii="Arial" w:hAnsi="Arial" w:cs="Arial"/>
          <w:b/>
          <w:bCs/>
          <w:sz w:val="21"/>
          <w:szCs w:val="21"/>
        </w:rPr>
        <w:t>T</w:t>
      </w:r>
      <w:r w:rsidR="006D4541">
        <w:rPr>
          <w:rFonts w:ascii="Arial" w:hAnsi="Arial" w:cs="Arial"/>
          <w:b/>
          <w:bCs/>
          <w:sz w:val="21"/>
          <w:szCs w:val="21"/>
        </w:rPr>
        <w:t>hree</w:t>
      </w:r>
      <w:r w:rsidR="002A7F33">
        <w:rPr>
          <w:rFonts w:ascii="Arial" w:hAnsi="Arial" w:cs="Arial"/>
          <w:b/>
          <w:bCs/>
          <w:sz w:val="21"/>
          <w:szCs w:val="21"/>
        </w:rPr>
        <w:t xml:space="preserve"> </w:t>
      </w:r>
      <w:r>
        <w:rPr>
          <w:rFonts w:ascii="Arial" w:hAnsi="Arial" w:cs="Arial"/>
          <w:b/>
          <w:sz w:val="21"/>
          <w:szCs w:val="21"/>
        </w:rPr>
        <w:t>Thousand Pesos (P</w:t>
      </w:r>
      <w:r w:rsidR="006D4541">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4CAE85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6D30A5">
        <w:rPr>
          <w:rFonts w:ascii="Arial" w:hAnsi="Arial" w:cs="Arial"/>
          <w:b/>
          <w:sz w:val="21"/>
          <w:szCs w:val="21"/>
        </w:rPr>
        <w:t xml:space="preserve">September </w:t>
      </w:r>
      <w:r w:rsidR="00F3678F">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71B7E4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11161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9" w:name="_Hlk148021308"/>
      <w:r>
        <w:rPr>
          <w:rFonts w:ascii="Arial" w:hAnsi="Arial" w:cs="Arial"/>
          <w:b/>
          <w:sz w:val="21"/>
          <w:szCs w:val="21"/>
        </w:rPr>
        <w:t>Provincial Government of Pangasinan</w:t>
      </w:r>
      <w:r>
        <w:rPr>
          <w:rFonts w:ascii="Arial" w:hAnsi="Arial" w:cs="Arial"/>
          <w:sz w:val="21"/>
          <w:szCs w:val="21"/>
        </w:rPr>
        <w:t xml:space="preserve"> </w:t>
      </w:r>
      <w:bookmarkEnd w:id="19"/>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7"/>
    </w:p>
    <w:bookmarkEnd w:id="2"/>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0" w:name="_Hlk152746818"/>
      <w:bookmarkEnd w:id="3"/>
      <w:r>
        <w:rPr>
          <w:rFonts w:ascii="Arial" w:hAnsi="Arial" w:cs="Arial"/>
          <w:b/>
          <w:sz w:val="21"/>
          <w:szCs w:val="21"/>
        </w:rPr>
        <w:t>MELICIO F. PATAGUE II</w:t>
      </w:r>
    </w:p>
    <w:bookmarkEnd w:id="20"/>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C73F" w14:textId="77777777" w:rsidR="00501B1C" w:rsidRDefault="00501B1C">
      <w:r>
        <w:separator/>
      </w:r>
    </w:p>
  </w:endnote>
  <w:endnote w:type="continuationSeparator" w:id="0">
    <w:p w14:paraId="526834D4" w14:textId="77777777" w:rsidR="00501B1C" w:rsidRDefault="0050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08BCA" w14:textId="77777777" w:rsidR="00501B1C" w:rsidRDefault="00501B1C">
      <w:r>
        <w:separator/>
      </w:r>
    </w:p>
  </w:footnote>
  <w:footnote w:type="continuationSeparator" w:id="0">
    <w:p w14:paraId="3221CECC" w14:textId="77777777" w:rsidR="00501B1C" w:rsidRDefault="0050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1B1C"/>
    <w:rsid w:val="00504A9D"/>
    <w:rsid w:val="0051143D"/>
    <w:rsid w:val="00521B03"/>
    <w:rsid w:val="00522551"/>
    <w:rsid w:val="00531212"/>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2024-08-27T05:35:00Z</cp:lastPrinted>
  <dcterms:created xsi:type="dcterms:W3CDTF">2024-08-29T07:21:00Z</dcterms:created>
  <dcterms:modified xsi:type="dcterms:W3CDTF">2024-09-02T03:14:00Z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